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100" w:beforeAutospacing="1" w:after="100" w:afterAutospacing="1"/>
        <w:ind w:left="0" w:right="0"/>
        <w:jc w:val="center"/>
        <w:rPr>
          <w:rFonts w:hint="default" w:ascii="方正小标宋简体" w:hAnsi="方正小标宋简体" w:eastAsia="方正小标宋简体" w:cs="方正小标宋简体"/>
          <w:color w:val="auto"/>
          <w:kern w:val="0"/>
          <w:sz w:val="36"/>
          <w:szCs w:val="36"/>
          <w:lang w:val="en-US" w:eastAsia="zh-CN" w:bidi="ar"/>
        </w:rPr>
      </w:pPr>
      <w:r>
        <w:rPr>
          <w:rFonts w:hint="eastAsia" w:ascii="宋体" w:hAnsi="宋体"/>
          <w:b/>
          <w:bCs/>
          <w:color w:val="000000"/>
          <w:sz w:val="30"/>
          <w:szCs w:val="30"/>
          <w:lang w:val="en-US" w:eastAsia="zh-CN"/>
        </w:rPr>
        <w:t xml:space="preserve">    </w:t>
      </w:r>
      <w:r>
        <w:rPr>
          <w:rFonts w:hint="eastAsia" w:ascii="方正小标宋简体" w:hAnsi="方正小标宋简体" w:eastAsia="方正小标宋简体" w:cs="方正小标宋简体"/>
          <w:color w:val="auto"/>
          <w:kern w:val="0"/>
          <w:sz w:val="36"/>
          <w:szCs w:val="36"/>
          <w:lang w:val="en-US" w:eastAsia="zh-CN" w:bidi="ar"/>
        </w:rPr>
        <w:t>国家公共安全电子信息产品质检中心检验综合楼工程竣工结算审计</w:t>
      </w:r>
      <w:r>
        <w:rPr>
          <w:rFonts w:hint="default" w:ascii="方正小标宋简体" w:hAnsi="方正小标宋简体" w:eastAsia="方正小标宋简体" w:cs="方正小标宋简体"/>
          <w:color w:val="auto"/>
          <w:kern w:val="0"/>
          <w:sz w:val="36"/>
          <w:szCs w:val="36"/>
          <w:lang w:val="en-US" w:eastAsia="zh-CN" w:bidi="ar"/>
        </w:rPr>
        <w:t>项目</w:t>
      </w:r>
      <w:r>
        <w:rPr>
          <w:rFonts w:hint="eastAsia" w:ascii="方正小标宋简体" w:hAnsi="方正小标宋简体" w:eastAsia="方正小标宋简体" w:cs="方正小标宋简体"/>
          <w:color w:val="auto"/>
          <w:kern w:val="0"/>
          <w:sz w:val="36"/>
          <w:szCs w:val="36"/>
          <w:lang w:val="en-US" w:eastAsia="zh-CN" w:bidi="ar"/>
        </w:rPr>
        <w:t>评分细则</w:t>
      </w:r>
    </w:p>
    <w:tbl>
      <w:tblPr>
        <w:tblStyle w:val="9"/>
        <w:tblpPr w:leftFromText="180" w:rightFromText="180" w:vertAnchor="page" w:horzAnchor="page" w:tblpX="1927" w:tblpY="3378"/>
        <w:tblOverlap w:val="never"/>
        <w:tblW w:w="8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1189"/>
        <w:gridCol w:w="5545"/>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7" w:hRule="atLeast"/>
        </w:trPr>
        <w:tc>
          <w:tcPr>
            <w:tcW w:w="1021" w:type="dxa"/>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b/>
                <w:color w:val="000000"/>
                <w:sz w:val="21"/>
                <w:szCs w:val="21"/>
              </w:rPr>
            </w:pPr>
            <w:r>
              <w:rPr>
                <w:rFonts w:hint="eastAsia"/>
                <w:b/>
                <w:color w:val="000000"/>
                <w:sz w:val="21"/>
                <w:szCs w:val="21"/>
              </w:rPr>
              <w:t>类别</w:t>
            </w:r>
          </w:p>
        </w:tc>
        <w:tc>
          <w:tcPr>
            <w:tcW w:w="1189" w:type="dxa"/>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b/>
                <w:color w:val="000000"/>
                <w:sz w:val="21"/>
                <w:szCs w:val="21"/>
              </w:rPr>
            </w:pPr>
            <w:r>
              <w:rPr>
                <w:rFonts w:hint="eastAsia"/>
                <w:b/>
                <w:color w:val="000000"/>
                <w:sz w:val="21"/>
                <w:szCs w:val="21"/>
              </w:rPr>
              <w:t>指标</w:t>
            </w:r>
          </w:p>
        </w:tc>
        <w:tc>
          <w:tcPr>
            <w:tcW w:w="5545" w:type="dxa"/>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firstLine="422" w:firstLineChars="200"/>
              <w:jc w:val="both"/>
              <w:textAlignment w:val="auto"/>
              <w:outlineLvl w:val="9"/>
              <w:rPr>
                <w:b/>
                <w:color w:val="000000"/>
                <w:sz w:val="21"/>
                <w:szCs w:val="21"/>
              </w:rPr>
            </w:pPr>
            <w:r>
              <w:rPr>
                <w:rFonts w:hint="eastAsia"/>
                <w:b/>
                <w:color w:val="000000"/>
                <w:sz w:val="21"/>
                <w:szCs w:val="21"/>
                <w:lang w:val="en-US" w:eastAsia="zh-CN"/>
              </w:rPr>
              <w:t xml:space="preserve">             </w:t>
            </w:r>
            <w:r>
              <w:rPr>
                <w:rFonts w:hint="eastAsia"/>
                <w:b/>
                <w:color w:val="000000"/>
                <w:sz w:val="21"/>
                <w:szCs w:val="21"/>
              </w:rPr>
              <w:t>指标描述</w:t>
            </w:r>
          </w:p>
        </w:tc>
        <w:tc>
          <w:tcPr>
            <w:tcW w:w="1201" w:type="dxa"/>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b/>
                <w:color w:val="000000"/>
                <w:sz w:val="21"/>
                <w:szCs w:val="21"/>
              </w:rPr>
            </w:pPr>
            <w:r>
              <w:rPr>
                <w:rFonts w:hint="eastAsia"/>
                <w:b/>
                <w:color w:val="000000"/>
                <w:sz w:val="21"/>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3" w:hRule="atLeast"/>
        </w:trPr>
        <w:tc>
          <w:tcPr>
            <w:tcW w:w="1021" w:type="dxa"/>
            <w:vMerge w:val="restart"/>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Autospacing="0" w:afterAutospacing="0" w:line="312" w:lineRule="auto"/>
              <w:ind w:left="0" w:leftChars="0" w:right="0" w:rightChars="0"/>
              <w:jc w:val="center"/>
              <w:textAlignment w:val="auto"/>
              <w:outlineLvl w:val="9"/>
            </w:pPr>
            <w:r>
              <w:rPr>
                <w:rFonts w:hint="eastAsia" w:ascii="宋体" w:hAnsi="宋体"/>
                <w:color w:val="000000"/>
                <w:sz w:val="21"/>
                <w:szCs w:val="21"/>
              </w:rPr>
              <w:t>技术分</w:t>
            </w:r>
          </w:p>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rPr>
            </w:pPr>
            <w:r>
              <w:rPr>
                <w:rFonts w:hint="eastAsia" w:ascii="宋体" w:hAnsi="宋体"/>
                <w:color w:val="000000"/>
                <w:sz w:val="21"/>
                <w:szCs w:val="21"/>
              </w:rPr>
              <w:t>（</w:t>
            </w:r>
            <w:r>
              <w:rPr>
                <w:rFonts w:hint="eastAsia" w:ascii="宋体" w:hAnsi="宋体"/>
                <w:color w:val="000000"/>
                <w:sz w:val="21"/>
                <w:szCs w:val="21"/>
                <w:lang w:val="en-US" w:eastAsia="zh-CN"/>
              </w:rPr>
              <w:t>60</w:t>
            </w:r>
            <w:r>
              <w:rPr>
                <w:rFonts w:hint="eastAsia" w:ascii="宋体" w:hAnsi="宋体"/>
                <w:color w:val="000000"/>
                <w:sz w:val="21"/>
                <w:szCs w:val="21"/>
              </w:rPr>
              <w:t>分）</w:t>
            </w:r>
          </w:p>
        </w:tc>
        <w:tc>
          <w:tcPr>
            <w:tcW w:w="118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12" w:lineRule="auto"/>
              <w:ind w:right="0" w:rightChars="0"/>
              <w:jc w:val="both"/>
              <w:textAlignment w:val="auto"/>
              <w:outlineLvl w:val="9"/>
              <w:rPr>
                <w:rFonts w:hint="eastAsia" w:ascii="宋体" w:hAnsi="宋体"/>
                <w:color w:val="000000"/>
                <w:sz w:val="21"/>
                <w:szCs w:val="21"/>
                <w:lang w:eastAsia="zh-CN"/>
              </w:rPr>
            </w:pPr>
            <w:r>
              <w:rPr>
                <w:rFonts w:hint="eastAsia" w:ascii="宋体" w:hAnsi="宋体"/>
                <w:color w:val="000000"/>
                <w:sz w:val="21"/>
                <w:szCs w:val="21"/>
                <w:lang w:eastAsia="zh-CN"/>
              </w:rPr>
              <w:t>省财政厅中标会计师事务所</w:t>
            </w:r>
          </w:p>
        </w:tc>
        <w:tc>
          <w:tcPr>
            <w:tcW w:w="5545" w:type="dxa"/>
            <w:vAlign w:val="top"/>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firstLine="420" w:firstLineChars="200"/>
              <w:jc w:val="both"/>
              <w:textAlignment w:val="auto"/>
              <w:outlineLvl w:val="9"/>
              <w:rPr>
                <w:rFonts w:hint="eastAsia" w:ascii="宋体" w:hAnsi="宋体"/>
                <w:color w:val="000000"/>
                <w:sz w:val="21"/>
                <w:szCs w:val="21"/>
              </w:rPr>
            </w:pPr>
            <w:r>
              <w:rPr>
                <w:rFonts w:hint="eastAsia" w:ascii="宋体" w:hAnsi="宋体"/>
                <w:color w:val="000000"/>
                <w:sz w:val="21"/>
                <w:szCs w:val="21"/>
                <w:lang w:val="en-US" w:eastAsia="zh-CN"/>
              </w:rPr>
              <w:t>本项目只接受安徽省财政厅关于选聘会计师事务所采购项目中标单位,0-10分</w:t>
            </w:r>
          </w:p>
          <w:p>
            <w:pPr>
              <w:keepNext w:val="0"/>
              <w:keepLines w:val="0"/>
              <w:pageBreakBefore w:val="0"/>
              <w:kinsoku/>
              <w:wordWrap/>
              <w:overflowPunct/>
              <w:topLinePunct w:val="0"/>
              <w:autoSpaceDE/>
              <w:autoSpaceDN/>
              <w:bidi w:val="0"/>
              <w:adjustRightInd w:val="0"/>
              <w:snapToGrid w:val="0"/>
              <w:spacing w:line="312" w:lineRule="auto"/>
              <w:ind w:left="0" w:leftChars="0" w:right="0" w:rightChars="0" w:firstLine="420" w:firstLineChars="200"/>
              <w:jc w:val="both"/>
              <w:textAlignment w:val="auto"/>
              <w:outlineLvl w:val="9"/>
              <w:rPr>
                <w:rFonts w:hint="eastAsia" w:ascii="宋体" w:hAnsi="宋体"/>
                <w:color w:val="000000"/>
                <w:sz w:val="21"/>
                <w:szCs w:val="21"/>
                <w:lang w:eastAsia="zh-CN"/>
              </w:rPr>
            </w:pPr>
          </w:p>
        </w:tc>
        <w:tc>
          <w:tcPr>
            <w:tcW w:w="1201" w:type="dxa"/>
            <w:vAlign w:val="center"/>
          </w:tcPr>
          <w:p>
            <w:pPr>
              <w:keepNext w:val="0"/>
              <w:keepLines w:val="0"/>
              <w:pageBreakBefore w:val="0"/>
              <w:widowControl/>
              <w:kinsoku/>
              <w:wordWrap/>
              <w:overflowPunct/>
              <w:topLinePunct w:val="0"/>
              <w:autoSpaceDE/>
              <w:autoSpaceDN/>
              <w:bidi w:val="0"/>
              <w:spacing w:line="312" w:lineRule="auto"/>
              <w:ind w:left="0" w:leftChars="0" w:right="0" w:rightChars="0"/>
              <w:jc w:val="center"/>
              <w:textAlignment w:val="auto"/>
              <w:outlineLvl w:val="9"/>
              <w:rPr>
                <w:rFonts w:hint="eastAsia" w:ascii="宋体" w:hAnsi="宋体"/>
                <w:color w:val="000000"/>
                <w:sz w:val="21"/>
                <w:szCs w:val="21"/>
              </w:rPr>
            </w:pPr>
            <w:r>
              <w:rPr>
                <w:rFonts w:hint="eastAsia" w:ascii="宋体" w:hAnsi="宋体"/>
                <w:color w:val="000000"/>
                <w:sz w:val="21"/>
                <w:szCs w:val="21"/>
              </w:rPr>
              <w:t>0-</w:t>
            </w:r>
            <w:r>
              <w:rPr>
                <w:rFonts w:hint="eastAsia" w:ascii="宋体" w:hAnsi="宋体"/>
                <w:color w:val="000000"/>
                <w:sz w:val="21"/>
                <w:szCs w:val="21"/>
                <w:lang w:val="en-US" w:eastAsia="zh-CN"/>
              </w:rPr>
              <w:t>10</w:t>
            </w:r>
            <w:r>
              <w:rPr>
                <w:rFonts w:hint="eastAsia" w:ascii="宋体" w:hAnsi="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01" w:hRule="atLeast"/>
        </w:trPr>
        <w:tc>
          <w:tcPr>
            <w:tcW w:w="1021" w:type="dxa"/>
            <w:vMerge w:val="continue"/>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firstLine="420" w:firstLineChars="200"/>
              <w:jc w:val="center"/>
              <w:textAlignment w:val="auto"/>
              <w:outlineLvl w:val="9"/>
              <w:rPr>
                <w:rFonts w:hint="eastAsia" w:ascii="宋体" w:hAnsi="宋体"/>
                <w:color w:val="000000"/>
                <w:sz w:val="21"/>
                <w:szCs w:val="21"/>
              </w:rPr>
            </w:pPr>
          </w:p>
        </w:tc>
        <w:tc>
          <w:tcPr>
            <w:tcW w:w="118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具备工程造价咨询资质</w:t>
            </w:r>
          </w:p>
        </w:tc>
        <w:tc>
          <w:tcPr>
            <w:tcW w:w="5545" w:type="dxa"/>
            <w:vAlign w:val="top"/>
          </w:tcPr>
          <w:p>
            <w:pPr>
              <w:keepNext w:val="0"/>
              <w:keepLines w:val="0"/>
              <w:pageBreakBefore w:val="0"/>
              <w:kinsoku/>
              <w:wordWrap/>
              <w:overflowPunct/>
              <w:topLinePunct w:val="0"/>
              <w:autoSpaceDE/>
              <w:autoSpaceDN/>
              <w:bidi w:val="0"/>
              <w:adjustRightInd w:val="0"/>
              <w:snapToGrid w:val="0"/>
              <w:spacing w:line="312" w:lineRule="auto"/>
              <w:ind w:right="0" w:rightChars="0"/>
              <w:jc w:val="both"/>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eastAsia="zh-CN"/>
              </w:rPr>
              <w:t>具备工程造价咨询乙级资质，</w:t>
            </w:r>
            <w:r>
              <w:rPr>
                <w:rFonts w:hint="eastAsia" w:ascii="宋体" w:hAnsi="宋体"/>
                <w:color w:val="000000"/>
                <w:sz w:val="21"/>
                <w:szCs w:val="21"/>
                <w:lang w:val="en-US" w:eastAsia="zh-CN"/>
              </w:rPr>
              <w:t>0-10分</w:t>
            </w:r>
          </w:p>
          <w:p>
            <w:pPr>
              <w:keepNext w:val="0"/>
              <w:keepLines w:val="0"/>
              <w:pageBreakBefore w:val="0"/>
              <w:kinsoku/>
              <w:wordWrap/>
              <w:overflowPunct/>
              <w:topLinePunct w:val="0"/>
              <w:autoSpaceDE/>
              <w:autoSpaceDN/>
              <w:bidi w:val="0"/>
              <w:adjustRightInd w:val="0"/>
              <w:snapToGrid w:val="0"/>
              <w:spacing w:line="312" w:lineRule="auto"/>
              <w:ind w:right="0" w:rightChars="0"/>
              <w:jc w:val="both"/>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eastAsia="zh-CN"/>
              </w:rPr>
              <w:t>具备工程造价咨询甲级资质，</w:t>
            </w:r>
            <w:r>
              <w:rPr>
                <w:rFonts w:hint="eastAsia" w:ascii="宋体" w:hAnsi="宋体"/>
                <w:color w:val="000000"/>
                <w:sz w:val="21"/>
                <w:szCs w:val="21"/>
                <w:lang w:val="en-US" w:eastAsia="zh-CN"/>
              </w:rPr>
              <w:t>10-20分</w:t>
            </w:r>
          </w:p>
          <w:p>
            <w:pPr>
              <w:keepNext w:val="0"/>
              <w:keepLines w:val="0"/>
              <w:pageBreakBefore w:val="0"/>
              <w:kinsoku/>
              <w:wordWrap/>
              <w:overflowPunct/>
              <w:topLinePunct w:val="0"/>
              <w:autoSpaceDE/>
              <w:autoSpaceDN/>
              <w:bidi w:val="0"/>
              <w:adjustRightInd w:val="0"/>
              <w:snapToGrid w:val="0"/>
              <w:spacing w:line="312" w:lineRule="auto"/>
              <w:ind w:right="0" w:rightChars="0"/>
              <w:jc w:val="both"/>
              <w:textAlignment w:val="auto"/>
              <w:outlineLvl w:val="9"/>
              <w:rPr>
                <w:rFonts w:hint="eastAsia" w:ascii="宋体" w:hAnsi="宋体"/>
                <w:color w:val="000000"/>
                <w:sz w:val="21"/>
                <w:szCs w:val="21"/>
                <w:lang w:val="en-US" w:eastAsia="zh-CN"/>
              </w:rPr>
            </w:pPr>
          </w:p>
          <w:p>
            <w:pPr>
              <w:keepNext w:val="0"/>
              <w:keepLines w:val="0"/>
              <w:pageBreakBefore w:val="0"/>
              <w:kinsoku/>
              <w:wordWrap/>
              <w:overflowPunct/>
              <w:topLinePunct w:val="0"/>
              <w:autoSpaceDE/>
              <w:autoSpaceDN/>
              <w:bidi w:val="0"/>
              <w:adjustRightInd w:val="0"/>
              <w:snapToGrid w:val="0"/>
              <w:spacing w:line="312" w:lineRule="auto"/>
              <w:ind w:right="0" w:rightChars="0"/>
              <w:jc w:val="both"/>
              <w:textAlignment w:val="auto"/>
              <w:outlineLvl w:val="9"/>
              <w:rPr>
                <w:rFonts w:hint="eastAsia" w:ascii="宋体" w:hAnsi="宋体"/>
                <w:color w:val="000000"/>
                <w:sz w:val="21"/>
                <w:szCs w:val="21"/>
                <w:lang w:val="en-US" w:eastAsia="zh-CN"/>
              </w:rPr>
            </w:pPr>
          </w:p>
        </w:tc>
        <w:tc>
          <w:tcPr>
            <w:tcW w:w="1201" w:type="dxa"/>
            <w:vAlign w:val="center"/>
          </w:tcPr>
          <w:p>
            <w:pPr>
              <w:keepNext w:val="0"/>
              <w:keepLines w:val="0"/>
              <w:pageBreakBefore w:val="0"/>
              <w:widowControl/>
              <w:kinsoku/>
              <w:wordWrap/>
              <w:overflowPunct/>
              <w:topLinePunct w:val="0"/>
              <w:autoSpaceDE/>
              <w:autoSpaceDN/>
              <w:bidi w:val="0"/>
              <w:spacing w:line="312" w:lineRule="auto"/>
              <w:ind w:left="0" w:leftChars="0" w:right="0" w:rightChars="0"/>
              <w:jc w:val="center"/>
              <w:textAlignment w:val="auto"/>
              <w:outlineLvl w:val="9"/>
              <w:rPr>
                <w:rFonts w:hint="eastAsia"/>
                <w:color w:val="000000"/>
                <w:sz w:val="21"/>
                <w:szCs w:val="21"/>
              </w:rPr>
            </w:pPr>
            <w:r>
              <w:rPr>
                <w:rFonts w:hint="eastAsia"/>
                <w:color w:val="000000"/>
                <w:sz w:val="21"/>
                <w:szCs w:val="21"/>
              </w:rPr>
              <w:t>0-</w:t>
            </w:r>
            <w:r>
              <w:rPr>
                <w:rFonts w:hint="eastAsia"/>
                <w:color w:val="000000"/>
                <w:sz w:val="21"/>
                <w:szCs w:val="21"/>
                <w:lang w:val="en-US" w:eastAsia="zh-CN"/>
              </w:rPr>
              <w:t>20</w:t>
            </w:r>
            <w:r>
              <w:rPr>
                <w:rFonts w:hint="eastAsia"/>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3" w:hRule="atLeast"/>
        </w:trPr>
        <w:tc>
          <w:tcPr>
            <w:tcW w:w="1021" w:type="dxa"/>
            <w:vMerge w:val="continue"/>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firstLine="420" w:firstLineChars="200"/>
              <w:jc w:val="center"/>
              <w:textAlignment w:val="auto"/>
              <w:outlineLvl w:val="9"/>
              <w:rPr>
                <w:rFonts w:hint="eastAsia" w:ascii="宋体" w:hAnsi="宋体"/>
                <w:color w:val="000000"/>
                <w:sz w:val="21"/>
                <w:szCs w:val="21"/>
              </w:rPr>
            </w:pPr>
          </w:p>
        </w:tc>
        <w:tc>
          <w:tcPr>
            <w:tcW w:w="118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单项工程造价业绩</w:t>
            </w:r>
          </w:p>
        </w:tc>
        <w:tc>
          <w:tcPr>
            <w:tcW w:w="5545" w:type="dxa"/>
            <w:vAlign w:val="top"/>
          </w:tcPr>
          <w:p>
            <w:pPr>
              <w:keepNext w:val="0"/>
              <w:keepLines w:val="0"/>
              <w:pageBreakBefore w:val="0"/>
              <w:kinsoku/>
              <w:wordWrap/>
              <w:overflowPunct/>
              <w:topLinePunct w:val="0"/>
              <w:autoSpaceDE/>
              <w:autoSpaceDN/>
              <w:bidi w:val="0"/>
              <w:adjustRightInd w:val="0"/>
              <w:snapToGrid w:val="0"/>
              <w:spacing w:line="312" w:lineRule="auto"/>
              <w:ind w:right="0" w:rightChars="0" w:firstLine="210" w:firstLineChars="100"/>
              <w:jc w:val="both"/>
              <w:textAlignment w:val="auto"/>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单项工程造价</w:t>
            </w:r>
            <w:r>
              <w:rPr>
                <w:rFonts w:hint="eastAsia" w:ascii="宋体" w:hAnsi="宋体"/>
                <w:color w:val="000000"/>
                <w:sz w:val="21"/>
                <w:szCs w:val="21"/>
                <w:lang w:val="en-US" w:eastAsia="zh-CN"/>
              </w:rPr>
              <w:t>3000万以上的工程竣工结算审计业绩，出具3家以上合同复印件，每份合同0-4分，总分0-12分</w:t>
            </w:r>
          </w:p>
        </w:tc>
        <w:tc>
          <w:tcPr>
            <w:tcW w:w="1201" w:type="dxa"/>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eastAsia="宋体"/>
                <w:color w:val="000000"/>
                <w:sz w:val="21"/>
                <w:szCs w:val="21"/>
                <w:lang w:val="en-US" w:eastAsia="zh-CN"/>
              </w:rPr>
            </w:pPr>
            <w:r>
              <w:rPr>
                <w:rFonts w:hint="eastAsia" w:ascii="宋体" w:hAnsi="宋体"/>
                <w:color w:val="000000"/>
                <w:sz w:val="21"/>
                <w:szCs w:val="21"/>
                <w:lang w:val="en-US" w:eastAsia="zh-CN"/>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3" w:hRule="atLeast"/>
        </w:trPr>
        <w:tc>
          <w:tcPr>
            <w:tcW w:w="1021" w:type="dxa"/>
            <w:vMerge w:val="continue"/>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firstLine="420" w:firstLineChars="200"/>
              <w:jc w:val="center"/>
              <w:textAlignment w:val="auto"/>
              <w:outlineLvl w:val="9"/>
              <w:rPr>
                <w:rFonts w:hint="eastAsia" w:ascii="宋体" w:hAnsi="宋体"/>
                <w:color w:val="000000"/>
                <w:sz w:val="21"/>
                <w:szCs w:val="21"/>
              </w:rPr>
            </w:pPr>
          </w:p>
        </w:tc>
        <w:tc>
          <w:tcPr>
            <w:tcW w:w="118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eastAsia="宋体"/>
                <w:color w:val="000000"/>
                <w:sz w:val="21"/>
                <w:szCs w:val="21"/>
                <w:lang w:eastAsia="zh-CN"/>
              </w:rPr>
            </w:pPr>
            <w:r>
              <w:rPr>
                <w:rFonts w:hint="eastAsia" w:ascii="宋体" w:hAnsi="宋体"/>
                <w:color w:val="000000"/>
                <w:sz w:val="21"/>
                <w:szCs w:val="21"/>
                <w:lang w:eastAsia="zh-CN"/>
              </w:rPr>
              <w:t>单项工程建筑业绩</w:t>
            </w:r>
          </w:p>
        </w:tc>
        <w:tc>
          <w:tcPr>
            <w:tcW w:w="5545" w:type="dxa"/>
            <w:vAlign w:val="top"/>
          </w:tcPr>
          <w:p>
            <w:pPr>
              <w:keepNext w:val="0"/>
              <w:keepLines w:val="0"/>
              <w:pageBreakBefore w:val="0"/>
              <w:kinsoku/>
              <w:wordWrap/>
              <w:overflowPunct/>
              <w:topLinePunct w:val="0"/>
              <w:autoSpaceDE/>
              <w:autoSpaceDN/>
              <w:bidi w:val="0"/>
              <w:adjustRightInd w:val="0"/>
              <w:snapToGrid w:val="0"/>
              <w:spacing w:line="312" w:lineRule="auto"/>
              <w:ind w:right="0" w:rightChars="0"/>
              <w:jc w:val="both"/>
              <w:textAlignment w:val="auto"/>
              <w:outlineLvl w:val="9"/>
              <w:rPr>
                <w:rFonts w:hint="eastAsia" w:ascii="宋体" w:hAnsi="宋体"/>
                <w:color w:val="000000"/>
                <w:sz w:val="21"/>
                <w:szCs w:val="21"/>
              </w:rPr>
            </w:pPr>
            <w:r>
              <w:rPr>
                <w:rFonts w:hint="eastAsia" w:ascii="宋体" w:hAnsi="宋体"/>
                <w:color w:val="000000"/>
                <w:sz w:val="21"/>
                <w:szCs w:val="21"/>
                <w:lang w:val="en-US" w:eastAsia="zh-CN"/>
              </w:rPr>
              <w:t xml:space="preserve">   单项工程建筑面积不低于1万平方米的工程结算审核审计业绩，出具2家以上合同复印件，每份0-4分，总分0-8分</w:t>
            </w:r>
          </w:p>
        </w:tc>
        <w:tc>
          <w:tcPr>
            <w:tcW w:w="1201" w:type="dxa"/>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rPr>
            </w:pPr>
            <w:r>
              <w:rPr>
                <w:rFonts w:hint="eastAsia" w:ascii="宋体" w:hAnsi="宋体"/>
                <w:color w:val="000000"/>
                <w:sz w:val="21"/>
                <w:szCs w:val="21"/>
              </w:rPr>
              <w:t>0-</w:t>
            </w:r>
            <w:r>
              <w:rPr>
                <w:rFonts w:hint="eastAsia" w:ascii="宋体" w:hAnsi="宋体"/>
                <w:color w:val="000000"/>
                <w:sz w:val="21"/>
                <w:szCs w:val="21"/>
                <w:lang w:val="en-US" w:eastAsia="zh-CN"/>
              </w:rPr>
              <w:t>8</w:t>
            </w:r>
            <w:r>
              <w:rPr>
                <w:rFonts w:hint="eastAsia" w:ascii="宋体" w:hAnsi="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3" w:hRule="atLeast"/>
        </w:trPr>
        <w:tc>
          <w:tcPr>
            <w:tcW w:w="1021" w:type="dxa"/>
            <w:vMerge w:val="continue"/>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firstLine="420" w:firstLineChars="200"/>
              <w:jc w:val="center"/>
              <w:textAlignment w:val="auto"/>
              <w:outlineLvl w:val="9"/>
              <w:rPr>
                <w:rFonts w:hint="eastAsia" w:ascii="宋体" w:hAnsi="宋体"/>
                <w:color w:val="000000"/>
                <w:sz w:val="21"/>
                <w:szCs w:val="21"/>
              </w:rPr>
            </w:pPr>
          </w:p>
        </w:tc>
        <w:tc>
          <w:tcPr>
            <w:tcW w:w="118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lang w:eastAsia="zh-CN"/>
              </w:rPr>
            </w:pPr>
            <w:r>
              <w:rPr>
                <w:rFonts w:hint="eastAsia" w:ascii="宋体" w:hAnsi="宋体"/>
                <w:color w:val="000000"/>
                <w:sz w:val="21"/>
                <w:szCs w:val="21"/>
                <w:lang w:eastAsia="zh-CN"/>
              </w:rPr>
              <w:t>服务方案</w:t>
            </w:r>
          </w:p>
        </w:tc>
        <w:tc>
          <w:tcPr>
            <w:tcW w:w="5545" w:type="dxa"/>
            <w:vAlign w:val="top"/>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firstLine="420" w:firstLineChars="200"/>
              <w:jc w:val="both"/>
              <w:textAlignment w:val="auto"/>
              <w:outlineLvl w:val="9"/>
              <w:rPr>
                <w:rFonts w:hint="eastAsia" w:ascii="宋体" w:hAnsi="宋体"/>
                <w:color w:val="000000"/>
                <w:sz w:val="21"/>
                <w:szCs w:val="21"/>
              </w:rPr>
            </w:pPr>
            <w:r>
              <w:rPr>
                <w:rFonts w:hint="eastAsia" w:ascii="宋体" w:hAnsi="宋体"/>
                <w:color w:val="auto"/>
                <w:sz w:val="21"/>
                <w:szCs w:val="21"/>
              </w:rPr>
              <w:t>对服务方案的咨询及沟通协调措施等方面和服务响应时间、服务内容、服务规范性等因素进行综合评价，</w:t>
            </w:r>
            <w:r>
              <w:rPr>
                <w:rFonts w:hint="eastAsia" w:ascii="宋体" w:hAnsi="宋体"/>
                <w:color w:val="auto"/>
                <w:sz w:val="21"/>
                <w:szCs w:val="21"/>
                <w:lang w:val="en-US" w:eastAsia="zh-CN"/>
              </w:rPr>
              <w:t>0-10</w:t>
            </w:r>
            <w:r>
              <w:rPr>
                <w:rFonts w:hint="eastAsia" w:ascii="宋体" w:hAnsi="宋体"/>
                <w:color w:val="auto"/>
                <w:sz w:val="21"/>
                <w:szCs w:val="21"/>
              </w:rPr>
              <w:t>分。由评委酌情打分。</w:t>
            </w:r>
          </w:p>
        </w:tc>
        <w:tc>
          <w:tcPr>
            <w:tcW w:w="1201" w:type="dxa"/>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atLeast"/>
        </w:trPr>
        <w:tc>
          <w:tcPr>
            <w:tcW w:w="1021" w:type="dxa"/>
            <w:vMerge w:val="restart"/>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rPr>
            </w:pPr>
            <w:r>
              <w:rPr>
                <w:rFonts w:hint="eastAsia" w:ascii="宋体" w:hAnsi="宋体"/>
                <w:color w:val="000000"/>
                <w:sz w:val="21"/>
                <w:szCs w:val="21"/>
              </w:rPr>
              <w:t>资信分（20分）</w:t>
            </w:r>
          </w:p>
        </w:tc>
        <w:tc>
          <w:tcPr>
            <w:tcW w:w="118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lang w:eastAsia="zh-CN"/>
              </w:rPr>
            </w:pPr>
            <w:r>
              <w:rPr>
                <w:rFonts w:hint="eastAsia" w:ascii="宋体" w:hAnsi="宋体"/>
                <w:color w:val="000000"/>
                <w:sz w:val="21"/>
                <w:szCs w:val="21"/>
                <w:lang w:eastAsia="zh-CN"/>
              </w:rPr>
              <w:t>本地化服务</w:t>
            </w:r>
          </w:p>
        </w:tc>
        <w:tc>
          <w:tcPr>
            <w:tcW w:w="5545" w:type="dxa"/>
            <w:vAlign w:val="top"/>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firstLine="420" w:firstLineChars="200"/>
              <w:jc w:val="both"/>
              <w:textAlignment w:val="auto"/>
              <w:outlineLvl w:val="9"/>
              <w:rPr>
                <w:rFonts w:hint="eastAsia" w:ascii="宋体" w:hAnsi="宋体"/>
                <w:color w:val="000000"/>
                <w:sz w:val="21"/>
                <w:szCs w:val="21"/>
              </w:rPr>
            </w:pPr>
            <w:r>
              <w:rPr>
                <w:rFonts w:hint="eastAsia" w:ascii="宋体" w:hAnsi="宋体"/>
                <w:color w:val="000000"/>
                <w:sz w:val="21"/>
                <w:szCs w:val="21"/>
                <w:lang w:val="en-US" w:eastAsia="zh-CN"/>
              </w:rPr>
              <w:t>对造价咨询和会计师事务所要求</w:t>
            </w:r>
            <w:r>
              <w:rPr>
                <w:rFonts w:hint="default" w:ascii="宋体" w:hAnsi="宋体"/>
                <w:color w:val="000000"/>
                <w:sz w:val="21"/>
                <w:szCs w:val="21"/>
                <w:lang w:val="en-US" w:eastAsia="zh-CN"/>
              </w:rPr>
              <w:t>在合肥有办公场</w:t>
            </w:r>
            <w:r>
              <w:rPr>
                <w:rFonts w:hint="eastAsia" w:ascii="宋体" w:hAnsi="宋体"/>
                <w:color w:val="000000"/>
                <w:sz w:val="21"/>
                <w:szCs w:val="21"/>
                <w:lang w:val="en-US" w:eastAsia="zh-CN"/>
              </w:rPr>
              <w:t>所，</w:t>
            </w:r>
            <w:r>
              <w:rPr>
                <w:rFonts w:hint="default" w:ascii="宋体" w:hAnsi="宋体"/>
                <w:color w:val="000000"/>
                <w:sz w:val="21"/>
                <w:szCs w:val="21"/>
                <w:lang w:val="en-US" w:eastAsia="zh-CN"/>
              </w:rPr>
              <w:t>便于现场沟通</w:t>
            </w:r>
            <w:r>
              <w:rPr>
                <w:rFonts w:hint="eastAsia" w:ascii="宋体" w:hAnsi="宋体"/>
                <w:color w:val="000000"/>
                <w:sz w:val="21"/>
                <w:szCs w:val="21"/>
                <w:lang w:val="en-US" w:eastAsia="zh-CN"/>
              </w:rPr>
              <w:t>，出具租赁合同或房产证，0-5分</w:t>
            </w:r>
            <w:r>
              <w:rPr>
                <w:rFonts w:hint="default" w:ascii="宋体" w:hAnsi="宋体"/>
                <w:color w:val="000000"/>
                <w:sz w:val="21"/>
                <w:szCs w:val="21"/>
                <w:lang w:val="en-US" w:eastAsia="zh-CN"/>
              </w:rPr>
              <w:t>。</w:t>
            </w:r>
          </w:p>
        </w:tc>
        <w:tc>
          <w:tcPr>
            <w:tcW w:w="1201" w:type="dxa"/>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rPr>
            </w:pPr>
            <w:r>
              <w:rPr>
                <w:rFonts w:hint="eastAsia" w:ascii="宋体" w:hAnsi="宋体"/>
                <w:color w:val="000000"/>
                <w:sz w:val="21"/>
                <w:szCs w:val="21"/>
              </w:rPr>
              <w:t>0-</w:t>
            </w:r>
            <w:r>
              <w:rPr>
                <w:rFonts w:hint="eastAsia" w:ascii="宋体" w:hAnsi="宋体"/>
                <w:color w:val="000000"/>
                <w:sz w:val="21"/>
                <w:szCs w:val="21"/>
                <w:lang w:val="en-US" w:eastAsia="zh-CN"/>
              </w:rPr>
              <w:t>5</w:t>
            </w:r>
            <w:r>
              <w:rPr>
                <w:rFonts w:hint="eastAsia" w:ascii="宋体" w:hAnsi="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8" w:hRule="atLeast"/>
        </w:trPr>
        <w:tc>
          <w:tcPr>
            <w:tcW w:w="1021" w:type="dxa"/>
            <w:vMerge w:val="continue"/>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firstLine="420" w:firstLineChars="200"/>
              <w:jc w:val="center"/>
              <w:textAlignment w:val="auto"/>
              <w:outlineLvl w:val="9"/>
              <w:rPr>
                <w:rFonts w:hint="eastAsia" w:ascii="宋体" w:hAnsi="宋体"/>
                <w:color w:val="000000"/>
                <w:sz w:val="21"/>
                <w:szCs w:val="21"/>
              </w:rPr>
            </w:pPr>
          </w:p>
        </w:tc>
        <w:tc>
          <w:tcPr>
            <w:tcW w:w="118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rPr>
            </w:pPr>
            <w:r>
              <w:rPr>
                <w:rFonts w:hint="eastAsia" w:ascii="宋体" w:hAnsi="宋体"/>
                <w:color w:val="000000"/>
                <w:sz w:val="21"/>
                <w:szCs w:val="21"/>
              </w:rPr>
              <w:t>服务承诺</w:t>
            </w:r>
          </w:p>
        </w:tc>
        <w:tc>
          <w:tcPr>
            <w:tcW w:w="5545" w:type="dxa"/>
            <w:vAlign w:val="top"/>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firstLine="420" w:firstLineChars="200"/>
              <w:jc w:val="both"/>
              <w:textAlignment w:val="auto"/>
              <w:outlineLvl w:val="9"/>
              <w:rPr>
                <w:rFonts w:hint="eastAsia" w:ascii="宋体" w:hAnsi="宋体"/>
                <w:color w:val="000000"/>
                <w:sz w:val="21"/>
                <w:szCs w:val="21"/>
              </w:rPr>
            </w:pPr>
            <w:r>
              <w:rPr>
                <w:rFonts w:hint="eastAsia" w:ascii="宋体" w:hAnsi="宋体"/>
                <w:color w:val="000000"/>
                <w:sz w:val="21"/>
                <w:szCs w:val="21"/>
              </w:rPr>
              <w:t>充分配合业主工作，提供相关咨询服务</w:t>
            </w:r>
            <w:r>
              <w:rPr>
                <w:rFonts w:hint="eastAsia" w:ascii="宋体" w:hAnsi="宋体"/>
                <w:color w:val="000000"/>
                <w:sz w:val="21"/>
                <w:szCs w:val="21"/>
                <w:lang w:eastAsia="zh-CN"/>
              </w:rPr>
              <w:t>承诺</w:t>
            </w:r>
            <w:r>
              <w:rPr>
                <w:rFonts w:hint="eastAsia" w:ascii="宋体" w:hAnsi="宋体"/>
                <w:color w:val="000000"/>
                <w:sz w:val="21"/>
                <w:szCs w:val="21"/>
              </w:rPr>
              <w:t>,0-5分。由评委酌情评分。</w:t>
            </w:r>
          </w:p>
        </w:tc>
        <w:tc>
          <w:tcPr>
            <w:tcW w:w="1201" w:type="dxa"/>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val="en-US" w:eastAsia="zh-CN"/>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5" w:hRule="atLeast"/>
        </w:trPr>
        <w:tc>
          <w:tcPr>
            <w:tcW w:w="1021" w:type="dxa"/>
            <w:vMerge w:val="continue"/>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firstLine="420" w:firstLineChars="200"/>
              <w:jc w:val="center"/>
              <w:textAlignment w:val="auto"/>
              <w:outlineLvl w:val="9"/>
              <w:rPr>
                <w:rFonts w:hint="eastAsia" w:ascii="宋体" w:hAnsi="宋体"/>
                <w:color w:val="000000"/>
                <w:sz w:val="21"/>
                <w:szCs w:val="21"/>
              </w:rPr>
            </w:pPr>
          </w:p>
        </w:tc>
        <w:tc>
          <w:tcPr>
            <w:tcW w:w="1189"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rPr>
            </w:pPr>
            <w:r>
              <w:rPr>
                <w:rFonts w:hint="eastAsia" w:ascii="宋体" w:hAnsi="宋体"/>
                <w:color w:val="000000"/>
                <w:sz w:val="21"/>
                <w:szCs w:val="21"/>
              </w:rPr>
              <w:t>项目负责人实力</w:t>
            </w:r>
          </w:p>
        </w:tc>
        <w:tc>
          <w:tcPr>
            <w:tcW w:w="5545" w:type="dxa"/>
            <w:vAlign w:val="top"/>
          </w:tcPr>
          <w:p>
            <w:pPr>
              <w:keepNext w:val="0"/>
              <w:keepLines w:val="0"/>
              <w:pageBreakBefore w:val="0"/>
              <w:kinsoku/>
              <w:wordWrap/>
              <w:overflowPunct/>
              <w:topLinePunct w:val="0"/>
              <w:autoSpaceDE/>
              <w:autoSpaceDN/>
              <w:bidi w:val="0"/>
              <w:adjustRightInd w:val="0"/>
              <w:snapToGrid w:val="0"/>
              <w:spacing w:line="312" w:lineRule="auto"/>
              <w:ind w:right="0" w:rightChars="0" w:firstLine="420" w:firstLineChars="200"/>
              <w:jc w:val="both"/>
              <w:textAlignment w:val="auto"/>
              <w:outlineLvl w:val="9"/>
              <w:rPr>
                <w:rFonts w:hint="eastAsia" w:ascii="宋体" w:hAnsi="宋体"/>
                <w:color w:val="000000"/>
                <w:sz w:val="21"/>
                <w:szCs w:val="21"/>
              </w:rPr>
            </w:pPr>
            <w:bookmarkStart w:id="0" w:name="_GoBack"/>
            <w:bookmarkEnd w:id="0"/>
            <w:r>
              <w:rPr>
                <w:rFonts w:hint="eastAsia" w:ascii="宋体" w:hAnsi="宋体"/>
                <w:color w:val="auto"/>
                <w:sz w:val="21"/>
                <w:szCs w:val="21"/>
              </w:rPr>
              <w:t>项目负责人是投标单位的正式工作人员，具有注册造价师，同时是注册会计师资质和高级会计师职称，提供2016年1月至今投标人为其缴纳的社保证明、职称、资格证书等材料5-10分。  由评委酌情评分。</w:t>
            </w:r>
          </w:p>
        </w:tc>
        <w:tc>
          <w:tcPr>
            <w:tcW w:w="1201" w:type="dxa"/>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rPr>
            </w:pPr>
            <w:r>
              <w:rPr>
                <w:rFonts w:hint="eastAsia" w:ascii="宋体" w:hAnsi="宋体"/>
                <w:color w:val="000000"/>
                <w:sz w:val="21"/>
                <w:szCs w:val="21"/>
                <w:lang w:val="en-US" w:eastAsia="zh-CN"/>
              </w:rPr>
              <w:t>5-10</w:t>
            </w:r>
            <w:r>
              <w:rPr>
                <w:rFonts w:hint="eastAsia" w:ascii="宋体" w:hAnsi="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5" w:hRule="atLeast"/>
        </w:trPr>
        <w:tc>
          <w:tcPr>
            <w:tcW w:w="1021" w:type="dxa"/>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lang w:eastAsia="zh-CN"/>
              </w:rPr>
            </w:pPr>
            <w:r>
              <w:rPr>
                <w:rFonts w:hint="eastAsia" w:ascii="宋体" w:hAnsi="宋体"/>
                <w:color w:val="000000"/>
                <w:sz w:val="21"/>
                <w:szCs w:val="21"/>
                <w:lang w:eastAsia="zh-CN"/>
              </w:rPr>
              <w:t>价格分</w:t>
            </w:r>
          </w:p>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lang w:eastAsia="zh-CN"/>
              </w:rPr>
            </w:pPr>
            <w:r>
              <w:rPr>
                <w:rFonts w:hint="eastAsia" w:ascii="宋体" w:hAnsi="宋体"/>
                <w:color w:val="000000"/>
                <w:sz w:val="21"/>
                <w:szCs w:val="21"/>
                <w:lang w:eastAsia="zh-CN"/>
              </w:rPr>
              <w:t>（</w:t>
            </w:r>
            <w:r>
              <w:rPr>
                <w:rFonts w:hint="eastAsia" w:ascii="宋体" w:hAnsi="宋体"/>
                <w:color w:val="000000"/>
                <w:sz w:val="21"/>
                <w:szCs w:val="21"/>
                <w:lang w:val="en-US" w:eastAsia="zh-CN"/>
              </w:rPr>
              <w:t>20</w:t>
            </w:r>
            <w:r>
              <w:rPr>
                <w:rFonts w:hint="eastAsia" w:ascii="宋体" w:hAnsi="宋体"/>
                <w:color w:val="000000"/>
                <w:sz w:val="21"/>
                <w:szCs w:val="21"/>
                <w:lang w:eastAsia="zh-CN"/>
              </w:rPr>
              <w:t>分）</w:t>
            </w:r>
          </w:p>
        </w:tc>
        <w:tc>
          <w:tcPr>
            <w:tcW w:w="7935" w:type="dxa"/>
            <w:gridSpan w:val="3"/>
            <w:shd w:val="clear" w:color="auto" w:fill="auto"/>
            <w:vAlign w:val="center"/>
          </w:tcPr>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lang w:eastAsia="zh-CN"/>
              </w:rPr>
            </w:pPr>
            <w:r>
              <w:rPr>
                <w:rFonts w:hint="eastAsia" w:ascii="宋体" w:hAnsi="宋体"/>
                <w:color w:val="000000"/>
                <w:sz w:val="21"/>
                <w:szCs w:val="21"/>
                <w:lang w:eastAsia="zh-CN"/>
              </w:rPr>
              <w:t>价格分统一采用低价优先法，即满足招标文件要求且投标价格最低的投标报价为评标基准价，其价格分为满分</w:t>
            </w:r>
            <w:r>
              <w:rPr>
                <w:rFonts w:hint="eastAsia" w:ascii="宋体" w:hAnsi="宋体"/>
                <w:color w:val="000000"/>
                <w:sz w:val="21"/>
                <w:szCs w:val="21"/>
                <w:lang w:val="en-US" w:eastAsia="zh-CN"/>
              </w:rPr>
              <w:t>20</w:t>
            </w:r>
            <w:r>
              <w:rPr>
                <w:rFonts w:hint="eastAsia" w:ascii="宋体" w:hAnsi="宋体"/>
                <w:color w:val="000000"/>
                <w:sz w:val="21"/>
                <w:szCs w:val="21"/>
                <w:lang w:eastAsia="zh-CN"/>
              </w:rPr>
              <w:t>分。其他投标供应商的价格分统一按照下列公式计算：</w:t>
            </w:r>
          </w:p>
          <w:p>
            <w:pPr>
              <w:keepNext w:val="0"/>
              <w:keepLines w:val="0"/>
              <w:pageBreakBefore w:val="0"/>
              <w:kinsoku/>
              <w:wordWrap/>
              <w:overflowPunct/>
              <w:topLinePunct w:val="0"/>
              <w:autoSpaceDE/>
              <w:autoSpaceDN/>
              <w:bidi w:val="0"/>
              <w:adjustRightInd w:val="0"/>
              <w:snapToGrid w:val="0"/>
              <w:spacing w:line="312" w:lineRule="auto"/>
              <w:ind w:left="0" w:leftChars="0" w:right="0" w:rightChars="0"/>
              <w:jc w:val="center"/>
              <w:textAlignment w:val="auto"/>
              <w:outlineLvl w:val="9"/>
              <w:rPr>
                <w:rFonts w:hint="eastAsia" w:ascii="宋体" w:hAnsi="宋体"/>
                <w:color w:val="000000"/>
                <w:sz w:val="21"/>
                <w:szCs w:val="21"/>
                <w:lang w:val="en-US" w:eastAsia="zh-CN"/>
              </w:rPr>
            </w:pPr>
            <w:r>
              <w:rPr>
                <w:rFonts w:hint="eastAsia" w:ascii="宋体" w:hAnsi="宋体"/>
                <w:color w:val="000000"/>
                <w:sz w:val="21"/>
                <w:szCs w:val="21"/>
                <w:lang w:eastAsia="zh-CN"/>
              </w:rPr>
              <w:t>投标报价得分＝（评标基准价/投标报价）×</w:t>
            </w:r>
            <w:r>
              <w:rPr>
                <w:rFonts w:hint="eastAsia" w:ascii="宋体" w:hAnsi="宋体"/>
                <w:color w:val="000000"/>
                <w:sz w:val="21"/>
                <w:szCs w:val="21"/>
                <w:lang w:val="en-US" w:eastAsia="zh-CN"/>
              </w:rPr>
              <w:t>20</w:t>
            </w:r>
            <w:r>
              <w:rPr>
                <w:rFonts w:hint="eastAsia" w:ascii="宋体" w:hAnsi="宋体"/>
                <w:color w:val="000000"/>
                <w:sz w:val="21"/>
                <w:szCs w:val="21"/>
                <w:lang w:eastAsia="zh-CN"/>
              </w:rPr>
              <w:t>％×100</w:t>
            </w:r>
          </w:p>
        </w:tc>
      </w:tr>
    </w:tbl>
    <w:p>
      <w:pPr>
        <w:adjustRightInd w:val="0"/>
        <w:snapToGrid w:val="0"/>
        <w:spacing w:line="360" w:lineRule="auto"/>
        <w:ind w:firstLine="602" w:firstLineChars="200"/>
        <w:rPr>
          <w:rFonts w:hint="eastAsia" w:ascii="宋体" w:hAnsi="宋体"/>
          <w:b/>
          <w:bCs/>
          <w:color w:val="000000"/>
          <w:sz w:val="30"/>
          <w:szCs w:val="30"/>
          <w:lang w:val="en-US" w:eastAsia="zh-CN"/>
        </w:rPr>
      </w:pPr>
    </w:p>
    <w:p>
      <w:pPr>
        <w:adjustRightInd w:val="0"/>
        <w:snapToGrid w:val="0"/>
        <w:spacing w:line="360" w:lineRule="auto"/>
        <w:ind w:firstLine="602" w:firstLineChars="200"/>
        <w:rPr>
          <w:rFonts w:hint="eastAsia" w:ascii="宋体" w:hAnsi="宋体"/>
          <w:color w:val="000000"/>
          <w:sz w:val="21"/>
          <w:szCs w:val="21"/>
        </w:rPr>
      </w:pPr>
      <w:r>
        <w:rPr>
          <w:rFonts w:hint="eastAsia" w:ascii="宋体" w:hAnsi="宋体"/>
          <w:b/>
          <w:bCs/>
          <w:color w:val="000000"/>
          <w:sz w:val="30"/>
          <w:szCs w:val="30"/>
          <w:lang w:val="en-US" w:eastAsia="zh-CN"/>
        </w:rPr>
        <w:t>注：评分细则的解释权为评标小组。</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crosoft YaHei">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微软雅黑 ! important">
    <w:altName w:val="黑体"/>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00007A87" w:usb1="80000000" w:usb2="00000008" w:usb3="00000000" w:csb0="400001FF" w:csb1="FFFF0000"/>
  </w:font>
  <w:font w:name="方正小标宋简体">
    <w:altName w:val="黑体"/>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A"/>
    <w:rsid w:val="00310784"/>
    <w:rsid w:val="00B201BA"/>
    <w:rsid w:val="013207C0"/>
    <w:rsid w:val="017756D5"/>
    <w:rsid w:val="02F838CE"/>
    <w:rsid w:val="05BB62AA"/>
    <w:rsid w:val="0C7B592F"/>
    <w:rsid w:val="0ED15E03"/>
    <w:rsid w:val="10AA36C9"/>
    <w:rsid w:val="117106FF"/>
    <w:rsid w:val="18811177"/>
    <w:rsid w:val="19A61E12"/>
    <w:rsid w:val="1BE34BC6"/>
    <w:rsid w:val="1E43526D"/>
    <w:rsid w:val="246D6A45"/>
    <w:rsid w:val="28570D64"/>
    <w:rsid w:val="2C8300B1"/>
    <w:rsid w:val="2E82176A"/>
    <w:rsid w:val="34171E50"/>
    <w:rsid w:val="3AD03B31"/>
    <w:rsid w:val="3E583B0D"/>
    <w:rsid w:val="3E765FE9"/>
    <w:rsid w:val="3F21057C"/>
    <w:rsid w:val="3F9223D1"/>
    <w:rsid w:val="3FE64AC6"/>
    <w:rsid w:val="482C379B"/>
    <w:rsid w:val="491B73AB"/>
    <w:rsid w:val="4ADB6CB0"/>
    <w:rsid w:val="4B4E641A"/>
    <w:rsid w:val="4DF15E13"/>
    <w:rsid w:val="51033FB0"/>
    <w:rsid w:val="51A44DD5"/>
    <w:rsid w:val="5AE65E6C"/>
    <w:rsid w:val="5E23083C"/>
    <w:rsid w:val="6476029C"/>
    <w:rsid w:val="64B36196"/>
    <w:rsid w:val="66F95A7F"/>
    <w:rsid w:val="6BB43086"/>
    <w:rsid w:val="70641E71"/>
    <w:rsid w:val="7C2F29D8"/>
    <w:rsid w:val="7FC4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uiPriority="99" w:name="HTML Code"/>
    <w:lsdException w:qFormat="1"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character" w:styleId="3">
    <w:name w:val="FollowedHyperlink"/>
    <w:basedOn w:val="2"/>
    <w:unhideWhenUsed/>
    <w:qFormat/>
    <w:uiPriority w:val="99"/>
    <w:rPr>
      <w:color w:val="555555"/>
      <w:u w:val="none"/>
    </w:rPr>
  </w:style>
  <w:style w:type="character" w:styleId="4">
    <w:name w:val="Emphasis"/>
    <w:basedOn w:val="2"/>
    <w:qFormat/>
    <w:uiPriority w:val="20"/>
  </w:style>
  <w:style w:type="character" w:styleId="5">
    <w:name w:val="HTML Definition"/>
    <w:basedOn w:val="2"/>
    <w:unhideWhenUsed/>
    <w:qFormat/>
    <w:uiPriority w:val="99"/>
  </w:style>
  <w:style w:type="character" w:styleId="6">
    <w:name w:val="HTML Variable"/>
    <w:basedOn w:val="2"/>
    <w:unhideWhenUsed/>
    <w:qFormat/>
    <w:uiPriority w:val="99"/>
  </w:style>
  <w:style w:type="character" w:styleId="7">
    <w:name w:val="Hyperlink"/>
    <w:basedOn w:val="2"/>
    <w:unhideWhenUsed/>
    <w:qFormat/>
    <w:uiPriority w:val="99"/>
    <w:rPr>
      <w:color w:val="555555"/>
      <w:u w:val="none"/>
    </w:rPr>
  </w:style>
  <w:style w:type="character" w:styleId="8">
    <w:name w:val="HTML Cite"/>
    <w:basedOn w:val="2"/>
    <w:unhideWhenUsed/>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Words>
  <Characters>491</Characters>
  <Lines>4</Lines>
  <Paragraphs>1</Paragraphs>
  <ScaleCrop>false</ScaleCrop>
  <LinksUpToDate>false</LinksUpToDate>
  <CharactersWithSpaces>575</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2017-05-11T08:10:00Z</dcterms:created>
  <dc:creator>NTKO</dc:creator>
  <cp:lastModifiedBy>Administrator</cp:lastModifiedBy>
  <cp:lastPrinted>2017-05-24T03:28:00Z</cp:lastPrinted>
  <dcterms:modified xsi:type="dcterms:W3CDTF">2017-07-20T07:51:01Z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